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48" w:rsidRPr="00C93B48" w:rsidRDefault="00C93B48" w:rsidP="00C93B4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500050"/>
          <w:lang w:eastAsia="pl-PL"/>
        </w:rPr>
      </w:pPr>
      <w:r w:rsidRPr="00C93B48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 xml:space="preserve">Priorytetowe Obszary Badawcze (POB) w Strategii </w:t>
      </w:r>
      <w:proofErr w:type="spellStart"/>
      <w:r w:rsidRPr="00C93B48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lang w:eastAsia="pl-PL"/>
        </w:rPr>
        <w:t>PWr</w:t>
      </w:r>
      <w:proofErr w:type="spellEnd"/>
    </w:p>
    <w:p w:rsidR="00C93B48" w:rsidRPr="00C93B48" w:rsidRDefault="00C93B48" w:rsidP="00C93B48">
      <w:pPr>
        <w:shd w:val="clear" w:color="auto" w:fill="FFFFFF"/>
        <w:spacing w:after="0" w:line="360" w:lineRule="auto"/>
        <w:rPr>
          <w:rFonts w:ascii="Calibri" w:eastAsia="Times New Roman" w:hAnsi="Calibri" w:cs="Times New Roman"/>
          <w:color w:val="500050"/>
          <w:lang w:eastAsia="pl-PL"/>
        </w:rPr>
      </w:pP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[1] Technologie informacyjne, nauka o danych i sztuczna inteligencja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[2] Innowacyjne materiały i zaawansowane technologie wytwarzania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[3] Zrównoważone środowisko życia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[4] Inteligentne miasta i społeczeństwo przyszłości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[5] Technologie dla zdrowia i medycyny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[6] Technologie ekstremalne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[7] Badania podstawowe dla technologii i innowacji</w:t>
      </w:r>
    </w:p>
    <w:p w:rsidR="00C93B48" w:rsidRPr="00C93B48" w:rsidRDefault="00C93B48" w:rsidP="00C93B48">
      <w:pPr>
        <w:shd w:val="clear" w:color="auto" w:fill="FFFFFF"/>
        <w:spacing w:after="0" w:line="36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[0] praca niezwiązana z żadnym POB</w:t>
      </w:r>
    </w:p>
    <w:p w:rsidR="00C93B48" w:rsidRDefault="00C93B48" w:rsidP="00C93B48">
      <w:pPr>
        <w:shd w:val="clear" w:color="auto" w:fill="FFFFFF"/>
        <w:spacing w:line="240" w:lineRule="auto"/>
        <w:textAlignment w:val="top"/>
        <w:rPr>
          <w:rFonts w:ascii="Trebuchet MS" w:eastAsia="Times New Roman" w:hAnsi="Trebuchet MS" w:cs="Times New Roman"/>
          <w:color w:val="333333"/>
          <w:sz w:val="20"/>
          <w:szCs w:val="20"/>
          <w:lang w:eastAsia="pl-PL"/>
        </w:rPr>
      </w:pPr>
    </w:p>
    <w:p w:rsidR="00C93B48" w:rsidRDefault="00C93B48" w:rsidP="00C93B48">
      <w:pPr>
        <w:shd w:val="clear" w:color="auto" w:fill="FFFFFF"/>
        <w:spacing w:line="24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Opisy do POB</w:t>
      </w:r>
      <w:r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  <w:t>:</w:t>
      </w:r>
    </w:p>
    <w:p w:rsidR="00C93B48" w:rsidRPr="00C93B48" w:rsidRDefault="00C93B48" w:rsidP="00C93B48">
      <w:pPr>
        <w:shd w:val="clear" w:color="auto" w:fill="FFFFFF"/>
        <w:spacing w:line="240" w:lineRule="auto"/>
        <w:textAlignment w:val="top"/>
        <w:rPr>
          <w:rFonts w:ascii="Trebuchet MS" w:eastAsia="Times New Roman" w:hAnsi="Trebuchet MS" w:cs="Times New Roman"/>
          <w:b/>
          <w:color w:val="333333"/>
          <w:sz w:val="24"/>
          <w:szCs w:val="24"/>
          <w:lang w:eastAsia="pl-PL"/>
        </w:rPr>
      </w:pPr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t>Technologie informacyjne, nauka o danych i sztuczna inteligencja</w:t>
      </w:r>
    </w:p>
    <w:p w:rsid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Obszar obejmuje m.in. informatykę, algorytmikę i inżynierię oprogramowania, sztuczną inteligencję i uczenie maszynowe, interakcję człowiek – komputer, metody analizy i wizualizacji danych, statystykę matematyczną, klasyfikację i prognozowanie, przetwarzanie języka naturalnego, obliczenia kwantowe, inżynierię magazynowania i transmisji danych, przetwarzanie informacji i prywatność,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cyberbezpieczeństwo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 i kryptografię, telekomunikację, sieci komputerowe i mobilne, Internet Rzeczy,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cyberklonowanie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 i wirtualizację, rozszerzoną i wirtualną rzeczywistość, techniki multimedialne, informatykę medyczną i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neuroinformatykę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 oraz inteligentne systemy autonomiczne.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t>Innowacyjne materiały i zaawansowane technologie wytwarzania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Obszar obejmuje m.in. badania podstawowe i inżynierię materiałową, Przemysł 4.0 (cyfryzację, automatyzację i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hiperautomatyzację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, robotyzację i inteligentne systemy produkcji), technologie addytywne, technologie wysokiej precyzji, zielone technologie wykorzystujące odnawialną bazę surowcową i waloryzację odpadów, technologie zrównoważone i energooszczędne, wykorzystanie innowacyjnych metod i narzędzi oraz systemy kontroli.</w:t>
      </w:r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lastRenderedPageBreak/>
        <w:t>Zrównoważone środowisko życia</w:t>
      </w:r>
    </w:p>
    <w:p w:rsid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Obszar obejmuje m.in. gospodarkę surowcami, źródł</w:t>
      </w:r>
      <w:r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a energii (energetykę konwencjo</w:t>
      </w: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nalną, odnawialną i jądrową), transformację systemu energetycznego, technologie przyjazne człowiekowi i środowisku (np.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elektromobilność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), ochronę klimatu oraz środowiska przyrodniczego i kulturowego, gospodarkę wodną, identyfikację zagrożeń środowiskowych oraz reagowanie na klęski żywiołowe, a także wszelkie aspekty zrównoważonego rozwoju, gospodarki o obiegu zamkniętym oraz społecznej akceptacji zachodzących zmian.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t>Inteligentne miasta i społeczeństwo przyszłości</w:t>
      </w:r>
    </w:p>
    <w:p w:rsid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Obszar obejmuje m.in. holistyczne projektowanie i budowę przyjaznych człowiekowi budowli, osiedli i miast z wykorzystaniem nowoczesnych technologii, zastosowanie innowacyjnych i bezpiecznych materiałów, szeroko rozumianą komunikację i mobilność – w tym inteligentne i autonomiczne systemy transportu, projektowanie uniwersalne, zapobieganie i przeciwdziałanie wykluczeniu społecznemu, energetycznemu i cyfrowemu, badania interakcji człowieka z maszyną, a także analizę, predykcję i zarzadzanie procesami społecznymi oraz gospodarczymi.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t>Technologie dla zdrowia i medycyny</w:t>
      </w:r>
    </w:p>
    <w:p w:rsid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Obszar odzwierciedla postępujący proces technizacji medycyny i coraz ściślejszy związek postępu w medycynie z rozwojem technologii. Obejmuje interdyscyplinarne badania na pograniczu nauk o zdrowiu oraz nauk podstawowych i technicznych, a także badania stricte medyczne. W szczególności należą do niego takie obszary jak biochemia i chemia biologiczna, bionika, inżynieria biomedyczna, biomechanika, materiały imitujące naturę i wspierające zdrowie, elektronika i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sensoryka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 medyczna,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bioinformatyka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, analiza obrazów i dużych zbiorów danych medycznych, diagnostyka medyczna, medycyna personalizowana i precyzyjna, technologie cyfrowe dla zdrowia i medycyny,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telemedycyna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, augmentacja </w:t>
      </w: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lastRenderedPageBreak/>
        <w:t>człowieka oraz badania wpływu na zdrowie czynników środowiskowych i procesów społecznych.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t>Technologie ekstremalne</w:t>
      </w:r>
    </w:p>
    <w:p w:rsid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Obszar obejmuje m.in. nanotechnologię, mikroelektronikę i fotonikę, metrologię, </w:t>
      </w:r>
      <w:proofErr w:type="spellStart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megakonstrukcje</w:t>
      </w:r>
      <w:proofErr w:type="spellEnd"/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 xml:space="preserve"> (wielkie budowle, maszyny, urządzenia, sieci elektroenergetyczne, itp.), technologie kwantowe, kriogeniczne, kosmiczne, morskie i podziemne, czyli badania zjawisk o ekstremalnych skalach oraz inżynierię obiektów o ekstremalnych parametrach lub pracujących w ekstremalnych warunkach.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bookmarkStart w:id="0" w:name="_GoBack"/>
      <w:bookmarkEnd w:id="0"/>
    </w:p>
    <w:p w:rsidR="00C93B48" w:rsidRPr="00C93B48" w:rsidRDefault="00C93B48" w:rsidP="00C93B48">
      <w:pPr>
        <w:numPr>
          <w:ilvl w:val="0"/>
          <w:numId w:val="1"/>
        </w:num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b/>
          <w:bCs/>
          <w:color w:val="333333"/>
          <w:sz w:val="24"/>
          <w:szCs w:val="24"/>
          <w:lang w:eastAsia="pl-PL"/>
        </w:rPr>
        <w:t>Badania podstawowe dla technologii i innowacji</w:t>
      </w:r>
    </w:p>
    <w:p w:rsidR="00C93B48" w:rsidRPr="00C93B48" w:rsidRDefault="00C93B48" w:rsidP="00C93B48">
      <w:pPr>
        <w:shd w:val="clear" w:color="auto" w:fill="FFFFFF"/>
        <w:spacing w:after="0" w:line="360" w:lineRule="auto"/>
        <w:ind w:left="947"/>
        <w:jc w:val="both"/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</w:pPr>
      <w:r w:rsidRPr="00C93B48">
        <w:rPr>
          <w:rFonts w:ascii="Trebuchet MS" w:eastAsia="Times New Roman" w:hAnsi="Trebuchet MS" w:cs="Tahoma"/>
          <w:color w:val="333333"/>
          <w:sz w:val="24"/>
          <w:szCs w:val="24"/>
          <w:lang w:eastAsia="pl-PL"/>
        </w:rPr>
        <w:t>Obszar obejmuje badania fundamentalnych obiektów, modeli i teorii ważnych dla zrozumienia systemów złożonych – od materiałów i procesów do układów biologicznych i społecznych. Uwzględnia zastosowania koncepcji i praw uniwersalnych do analizy rzeczywistych zjawisk i wsparcia rozwoju techniki i cywilizacji oraz poprawy jakości życia człowieka i stanu środowiska naturalnego. Obejmuje w szczególności badania w zakresie nauk ścisłych i przyrodniczych (w tym matematyki, fizyki i chemii) oraz nauk społecznych i humanistycznych.</w:t>
      </w:r>
    </w:p>
    <w:p w:rsidR="008F7931" w:rsidRDefault="008F7931"/>
    <w:sectPr w:rsidR="008F7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204CD"/>
    <w:multiLevelType w:val="multilevel"/>
    <w:tmpl w:val="A9584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48"/>
    <w:rsid w:val="008F7931"/>
    <w:rsid w:val="00C9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87609"/>
  <w15:chartTrackingRefBased/>
  <w15:docId w15:val="{AF4C0247-B517-489E-9491-531575F1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93B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72679">
          <w:marLeft w:val="0"/>
          <w:marRight w:val="0"/>
          <w:marTop w:val="0"/>
          <w:marBottom w:val="24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137207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9307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7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2025-02-25T10:16:00Z</dcterms:created>
  <dcterms:modified xsi:type="dcterms:W3CDTF">2025-02-25T10:21:00Z</dcterms:modified>
</cp:coreProperties>
</file>